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9"/>
          <w:szCs w:val="19"/>
        </w:rPr>
        <w:t>ALORI odstraňovač zápachu oblečení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b w:val="1"/>
          <w:bCs w:val="1"/>
          <w:szCs w:val="15"/>
        </w:rPr>
        <w:t>Varování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Obsahuje: ethoxylované alkoholy C12 - C14, 4-tert-Butylcyclohexyl acetate, Hexyl salicylate, Citronellol, linalool, geraniol, 2-Methyl-3-(4-isopropylphenyl)propanal, Coumarin, Linalylacetate, 2,4-Dimethylcyclohex-3-ene-1-carbaldehyde, Delta- Damascone, 1-(1,2,3,4,5,6,7,8-Octahydro-2,3,8,8-tetramethyl-2-naphthyl)ethan-1-one, 1,8 - CINEOLE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H315 Dráždí kůži. H319 Způsobuje vážné podráždění očí. H412 Škodlivý pro vodní organismy, s dlouhodobými účinky.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P101 Je-li nutná lékařská pomoc, mějte po ruce obal nebo štítek výrobku. P102 Uchovávejte mimo dosah dětí. P264 Po manipulaci důkladně omyjte ruce a zasažené části těla. P280 Používejte ochranné brýle. P305+P351+P338 PŘI ZASAŽENÍ OČÍ: Několik minut opatrně vyplachujte vodou. Vyjměte kontaktní čočky, jsou-li nasazeny a pokud je lze vyjmout snadno. Pokračujte ve vyplachování. P321 Odborné ošetření (viz doplňkové instrukce pro první pomoc na tomto štítku). P337+P313 Přetrvává-li podráždění očí: Vyhledejte lékařskou pomoc/ošetření. P501 Odstraňte obsah/obal předáním oprávněné osobě k nakládání s odpady nebo vrácením dodavateli.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EUH208 Obsahuje reakční směs: 5-chlor-2-methylisothiazol-3(2H)-on a 2-methylisothiazol-3(2H)-on (3:1). Může vyvolat alergickou reakci.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&lt;5 % kationtové povrchově aktivní látky, &lt;5 % neiontové povrchově aktivní látky, parfémy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UFI: HM63-X05U-900X-4F62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2025-10-02T08:20:37Z</dcterms:modified>
  <cp:revision>1</cp:revision>
</cp:coreProperties>
</file>